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bCs/>
          <w:sz w:val="32"/>
          <w:szCs w:val="32"/>
        </w:rPr>
        <w:t xml:space="preserve">The Influence of Electron Correlation on the Electronic </w:t>
      </w:r>
      <w:r>
        <w:rPr>
          <w:b/>
          <w:bCs/>
          <w:sz w:val="32"/>
          <w:szCs w:val="32"/>
        </w:rPr>
        <w:t>Structure</w:t>
      </w:r>
      <w:r>
        <w:rPr>
          <w:b/>
          <w:bCs/>
          <w:sz w:val="32"/>
          <w:szCs w:val="32"/>
        </w:rPr>
        <w:t xml:space="preserve"> of Transition Metal Phthalocyanines</w:t>
      </w:r>
    </w:p>
    <w:p>
      <w:pPr>
        <w:pStyle w:val="Normal"/>
        <w:ind w:firstLine="3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340"/>
        <w:jc w:val="center"/>
        <w:outlineLvl w:val="0"/>
        <w:rPr/>
      </w:pPr>
      <w:r>
        <w:rPr>
          <w:sz w:val="24"/>
          <w:szCs w:val="24"/>
          <w:u w:val="single"/>
        </w:rPr>
        <w:t>Iulia Emilia Brumboiu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1,2*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Soumyajyoti Haldar</w:t>
      </w:r>
      <w:r>
        <w:rPr>
          <w:sz w:val="24"/>
          <w:szCs w:val="24"/>
        </w:rPr>
        <w:t>,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Johann Lüder,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Heike C. Herper,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Olle Eriksson,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Barbara Brena,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and Biplab Sanyal</w:t>
      </w:r>
      <w:r>
        <w:rPr>
          <w:sz w:val="24"/>
          <w:szCs w:val="24"/>
          <w:vertAlign w:val="superscript"/>
        </w:rPr>
        <w:t>5</w:t>
      </w:r>
    </w:p>
    <w:p>
      <w:pPr>
        <w:pStyle w:val="Normal"/>
        <w:ind w:firstLine="3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40"/>
        <w:jc w:val="center"/>
        <w:rPr/>
      </w:pPr>
      <w:r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>Department of Chemistry, Korea Advanced Institute of Science and Technology (KAIST), 34141 Daejeon, Korea</w:t>
      </w:r>
    </w:p>
    <w:p>
      <w:pPr>
        <w:pStyle w:val="Normal"/>
        <w:ind w:firstLine="340"/>
        <w:jc w:val="center"/>
        <w:rPr/>
      </w:pPr>
      <w:r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>Department of Theoretical Chemistry and Biology, KTH Royal Institute of Technology, 10691 Stockholm, Sweden</w:t>
      </w:r>
    </w:p>
    <w:p>
      <w:pPr>
        <w:pStyle w:val="Normal"/>
        <w:ind w:firstLine="340"/>
        <w:jc w:val="center"/>
        <w:rPr/>
      </w:pPr>
      <w:r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>Institute of Theoretical Physics and Astrophysics, Christian-Albrechts-Universität zu Kiel, 24098 Kiel, Germany</w:t>
      </w:r>
    </w:p>
    <w:p>
      <w:pPr>
        <w:pStyle w:val="Normal"/>
        <w:ind w:firstLine="340"/>
        <w:jc w:val="center"/>
        <w:rPr/>
      </w:pPr>
      <w:r>
        <w:rPr>
          <w:i/>
          <w:iCs/>
          <w:sz w:val="24"/>
          <w:szCs w:val="24"/>
          <w:vertAlign w:val="superscript"/>
        </w:rPr>
        <w:t>4</w:t>
      </w:r>
      <w:r>
        <w:rPr>
          <w:i/>
          <w:iCs/>
          <w:sz w:val="24"/>
          <w:szCs w:val="24"/>
        </w:rPr>
        <w:t>Department of  Materials and Optoelectronic Science,National Sun Yat-Sen University, 80424 Kaohsiung, Taiwan</w:t>
      </w:r>
    </w:p>
    <w:p>
      <w:pPr>
        <w:pStyle w:val="Normal"/>
        <w:ind w:firstLine="340"/>
        <w:jc w:val="center"/>
        <w:rPr/>
      </w:pPr>
      <w:r>
        <w:rPr>
          <w:i/>
          <w:iCs/>
          <w:sz w:val="24"/>
          <w:szCs w:val="24"/>
          <w:vertAlign w:val="superscript"/>
        </w:rPr>
        <w:t>5</w:t>
      </w:r>
      <w:r>
        <w:rPr>
          <w:i/>
          <w:iCs/>
          <w:sz w:val="24"/>
          <w:szCs w:val="24"/>
        </w:rPr>
        <w:t>Department of Phy</w:t>
      </w:r>
      <w:r>
        <w:rPr>
          <w:i/>
          <w:iCs/>
          <w:sz w:val="24"/>
          <w:szCs w:val="24"/>
        </w:rPr>
        <w:t>si</w:t>
      </w:r>
      <w:r>
        <w:rPr>
          <w:i/>
          <w:iCs/>
          <w:sz w:val="24"/>
          <w:szCs w:val="24"/>
        </w:rPr>
        <w:t>cs and Astronomy, Uppsala University, 75120 Uppsala, Sweden</w:t>
      </w:r>
    </w:p>
    <w:p>
      <w:pPr>
        <w:pStyle w:val="Addresses"/>
        <w:jc w:val="center"/>
        <w:rPr>
          <w:rFonts w:eastAsia="Malgun Gothic"/>
          <w:lang w:eastAsia="ko-KR"/>
        </w:rPr>
      </w:pPr>
      <w:r>
        <w:rPr>
          <w:rFonts w:eastAsia="Malgun Gothic"/>
          <w:lang w:eastAsia="ko-KR"/>
        </w:rPr>
      </w:r>
    </w:p>
    <w:p>
      <w:pPr>
        <w:pStyle w:val="Addresses"/>
        <w:jc w:val="center"/>
        <w:rPr/>
      </w:pPr>
      <w:r>
        <w:rPr>
          <w:vertAlign w:val="superscript"/>
        </w:rPr>
        <w:t xml:space="preserve">*  </w:t>
      </w:r>
      <w:r>
        <w:rPr>
          <w:rFonts w:eastAsia="Malgun Gothic"/>
          <w:lang w:eastAsia="ko-KR"/>
        </w:rPr>
        <w:t xml:space="preserve">E-mail: </w:t>
      </w:r>
      <w:r>
        <w:rPr>
          <w:rFonts w:ascii="Times" w:hAnsi="Times"/>
          <w:color w:val="0000FF"/>
          <w:u w:val="single"/>
        </w:rPr>
        <w:t>iubr@kth.se</w:t>
      </w:r>
    </w:p>
    <w:p>
      <w:pPr>
        <w:pStyle w:val="Normal"/>
        <w:ind w:firstLine="3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3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position w:val="0"/>
          <w:sz w:val="22"/>
          <w:sz w:val="22"/>
          <w:szCs w:val="24"/>
          <w:vertAlign w:val="baseline"/>
          <w:lang w:val="en-US"/>
        </w:rPr>
        <w:t xml:space="preserve">Transition metal phthalocyanines (TMPcs) are highly symmetric organic molecules </w:t>
      </w:r>
      <w:r>
        <w:rPr>
          <w:position w:val="0"/>
          <w:sz w:val="22"/>
          <w:sz w:val="22"/>
          <w:szCs w:val="24"/>
          <w:vertAlign w:val="baseline"/>
          <w:lang w:val="en-US"/>
        </w:rPr>
        <w:t>with</w:t>
      </w:r>
      <w:r>
        <w:rPr>
          <w:position w:val="0"/>
          <w:sz w:val="22"/>
          <w:sz w:val="22"/>
          <w:szCs w:val="24"/>
          <w:vertAlign w:val="baseline"/>
          <w:lang w:val="en-US"/>
        </w:rPr>
        <w:t xml:space="preserve"> a transition metal atom at their centre</w:t>
      </w:r>
      <w:r>
        <w:rPr>
          <w:position w:val="0"/>
          <w:sz w:val="22"/>
          <w:sz w:val="22"/>
          <w:szCs w:val="24"/>
          <w:vertAlign w:val="baseline"/>
          <w:lang w:val="en-US"/>
        </w:rPr>
        <w:t>.</w:t>
      </w:r>
      <w:r>
        <w:rPr>
          <w:position w:val="0"/>
          <w:sz w:val="22"/>
          <w:sz w:val="22"/>
          <w:szCs w:val="24"/>
          <w:vertAlign w:val="baseline"/>
          <w:lang w:val="en-US"/>
        </w:rPr>
        <w:t xml:space="preserve"> TMPcs have been in the focus of scientific research as possible candidates for applications in spintronics and molecular electronics</w:t>
      </w:r>
      <w:r>
        <w:rPr>
          <w:position w:val="0"/>
          <w:sz w:val="22"/>
          <w:sz w:val="22"/>
          <w:szCs w:val="24"/>
          <w:vertAlign w:val="baseline"/>
          <w:lang w:val="en-US"/>
        </w:rPr>
        <w:t xml:space="preserve">, where the molecules are typically used when adsorbed on various surfaces [1]. </w:t>
      </w:r>
    </w:p>
    <w:p>
      <w:pPr>
        <w:pStyle w:val="Normal"/>
        <w:jc w:val="both"/>
        <w:rPr>
          <w:rFonts w:ascii="Times New Roman" w:hAnsi="Times New Roman"/>
          <w:position w:val="0"/>
          <w:sz w:val="22"/>
          <w:sz w:val="22"/>
          <w:szCs w:val="24"/>
          <w:vertAlign w:val="baseline"/>
          <w:lang w:val="en-US"/>
        </w:rPr>
      </w:pPr>
      <w:r>
        <w:rPr>
          <w:position w:val="0"/>
          <w:sz w:val="22"/>
          <w:sz w:val="22"/>
          <w:szCs w:val="24"/>
          <w:vertAlign w:val="baseline"/>
          <w:lang w:val="en-US"/>
        </w:rPr>
      </w:r>
    </w:p>
    <w:p>
      <w:pPr>
        <w:pStyle w:val="Normal"/>
        <w:jc w:val="both"/>
        <w:rPr/>
      </w:pPr>
      <w:r>
        <w:rPr>
          <w:position w:val="0"/>
          <w:sz w:val="22"/>
          <w:sz w:val="22"/>
          <w:szCs w:val="24"/>
          <w:vertAlign w:val="baseline"/>
          <w:lang w:val="en-US"/>
        </w:rPr>
        <w:t xml:space="preserve">The </w:t>
      </w:r>
      <w:r>
        <w:rPr>
          <w:position w:val="0"/>
          <w:sz w:val="22"/>
          <w:sz w:val="22"/>
          <w:szCs w:val="24"/>
          <w:vertAlign w:val="baseline"/>
          <w:lang w:val="en-US"/>
        </w:rPr>
        <w:t>study of properties of molecules adsorbed on substrates requires the</w:t>
      </w:r>
      <w:r>
        <w:rPr>
          <w:position w:val="0"/>
          <w:sz w:val="22"/>
          <w:sz w:val="22"/>
          <w:szCs w:val="24"/>
          <w:vertAlign w:val="baseline"/>
          <w:lang w:val="en-US"/>
        </w:rPr>
        <w:t xml:space="preserve"> availability of theoretical methods that are accurate enough, but which also have a relatively low computational cost.  From this point of view, the description of a TMPc adsorbed on a surface is not straightforward, especially due to the presence of the metal d electrons. A compromise between accuracy and computational cost is achieved by combining Density Functional Theory (DFT) with a Hubbard term exclusively acting on the correlated electrons. Many studies on TMPcs adsorbed on surfaces make use of this approach, but the choice of U is mainly based on previously reported values for similar systems. In this study</w:t>
      </w:r>
      <w:r>
        <w:rPr>
          <w:position w:val="0"/>
          <w:sz w:val="22"/>
          <w:sz w:val="22"/>
          <w:szCs w:val="24"/>
          <w:vertAlign w:val="baseline"/>
          <w:lang w:val="en-US"/>
        </w:rPr>
        <w:t xml:space="preserve"> [2]</w:t>
      </w:r>
      <w:r>
        <w:rPr>
          <w:position w:val="0"/>
          <w:sz w:val="22"/>
          <w:sz w:val="22"/>
          <w:szCs w:val="24"/>
          <w:vertAlign w:val="baseline"/>
          <w:lang w:val="en-US"/>
        </w:rPr>
        <w:t xml:space="preserve">, we provide a detailed analysis of the influence of U on the electronic structure of five TMPcs (Mn-, Fe-,Co-, Ni- and CuPc). </w:t>
      </w:r>
    </w:p>
    <w:p>
      <w:pPr>
        <w:pStyle w:val="Normal"/>
        <w:jc w:val="both"/>
        <w:rPr>
          <w:rFonts w:ascii="Times New Roman" w:hAnsi="Times New Roman"/>
          <w:position w:val="0"/>
          <w:sz w:val="22"/>
          <w:sz w:val="22"/>
          <w:szCs w:val="24"/>
          <w:vertAlign w:val="baseline"/>
          <w:lang w:val="en-US"/>
        </w:rPr>
      </w:pPr>
      <w:r>
        <w:rPr>
          <w:position w:val="0"/>
          <w:sz w:val="22"/>
          <w:sz w:val="22"/>
          <w:szCs w:val="24"/>
          <w:vertAlign w:val="baseline"/>
          <w:lang w:val="en-US"/>
        </w:rPr>
      </w:r>
    </w:p>
    <w:p>
      <w:pPr>
        <w:pStyle w:val="Normal"/>
        <w:jc w:val="both"/>
        <w:rPr>
          <w:rFonts w:ascii="Times New Roman" w:hAnsi="Times New Roman"/>
          <w:position w:val="0"/>
          <w:sz w:val="22"/>
          <w:sz w:val="22"/>
          <w:szCs w:val="24"/>
          <w:vertAlign w:val="baseline"/>
          <w:lang w:val="en-US"/>
        </w:rPr>
      </w:pPr>
      <w:r>
        <w:rPr>
          <w:position w:val="0"/>
          <w:sz w:val="24"/>
          <w:sz w:val="24"/>
          <w:szCs w:val="24"/>
          <w:vertAlign w:val="baseline"/>
          <w:lang w:val="en-US"/>
        </w:rPr>
        <w:t>By comparing the calculated valence electronic structures of the single molecules to photoelectron spectroscopy experiments and by computing the Hubbard U term from linear response, we show that U is different for every phthalocyanine. For each TMPc, we provide a range of U values that show good agreement with the experiments. These values represent a safe starting point for DFT+U calculation of physisorbed TMPcs. By calculating a multiple-site linear response U, we also show that the atoms covalently bonded to the metal atom may influence the U value by as much as 1 eV. This point is especially important when estimating the Hubbard U value for chemisorbed molecules.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60" w:after="0"/>
        <w:ind w:left="0" w:hanging="0"/>
        <w:rPr/>
      </w:pPr>
      <w:r>
        <w:rPr>
          <w:sz w:val="24"/>
          <w:szCs w:val="24"/>
        </w:rPr>
        <w:t xml:space="preserve">L. Liu et al., Sci. Rep. </w:t>
      </w:r>
      <w:r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, 1210 (2013) </w:t>
      </w:r>
    </w:p>
    <w:p>
      <w:pPr>
        <w:pStyle w:val="Normal"/>
        <w:numPr>
          <w:ilvl w:val="0"/>
          <w:numId w:val="1"/>
        </w:numPr>
        <w:spacing w:before="60" w:after="0"/>
        <w:ind w:left="0" w:hanging="0"/>
        <w:rPr/>
      </w:pPr>
      <w:r>
        <w:rPr>
          <w:sz w:val="24"/>
          <w:szCs w:val="24"/>
        </w:rPr>
        <w:t xml:space="preserve">I.E. Brumboiu, J. Chem. Theory Comput. </w:t>
      </w:r>
      <w:r>
        <w:rPr>
          <w:b/>
          <w:bCs/>
          <w:sz w:val="24"/>
          <w:szCs w:val="24"/>
        </w:rPr>
        <w:t>12</w:t>
      </w:r>
      <w:r>
        <w:rPr>
          <w:sz w:val="24"/>
          <w:szCs w:val="24"/>
        </w:rPr>
        <w:t>, 1772 (2016).</w:t>
      </w:r>
    </w:p>
    <w:sectPr>
      <w:headerReference w:type="default" r:id="rId2"/>
      <w:footerReference w:type="default" r:id="rId3"/>
      <w:type w:val="nextPage"/>
      <w:pgSz w:w="11906" w:h="16838"/>
      <w:pgMar w:left="1806" w:right="1806" w:header="720" w:top="1440" w:footer="720" w:bottom="180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[%1]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n-US" w:eastAsia="ko-K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36b1"/>
    <w:pPr>
      <w:widowControl/>
      <w:bidi w:val="0"/>
      <w:jc w:val="both"/>
    </w:pPr>
    <w:rPr>
      <w:rFonts w:ascii="Times New Roman" w:hAnsi="Times New Roman" w:eastAsia="PMingLiU" w:cs="Times New Roman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link w:val="BalloonText"/>
    <w:uiPriority w:val="99"/>
    <w:semiHidden/>
    <w:qFormat/>
    <w:rsid w:val="000810b3"/>
    <w:rPr>
      <w:rFonts w:ascii="Cambria" w:hAnsi="Cambria" w:eastAsia="PMingLiU" w:cs="Times New Roman"/>
      <w:sz w:val="18"/>
      <w:szCs w:val="18"/>
      <w:lang w:eastAsia="en-US"/>
    </w:rPr>
  </w:style>
  <w:style w:type="character" w:styleId="HeaderChar" w:customStyle="1">
    <w:name w:val="Header Char"/>
    <w:link w:val="Header"/>
    <w:uiPriority w:val="99"/>
    <w:semiHidden/>
    <w:qFormat/>
    <w:rsid w:val="00461acd"/>
    <w:rPr>
      <w:rFonts w:ascii="Times New Roman" w:hAnsi="Times New Roman" w:eastAsia="PMingLiU"/>
      <w:sz w:val="18"/>
      <w:szCs w:val="18"/>
      <w:lang w:eastAsia="en-US"/>
    </w:rPr>
  </w:style>
  <w:style w:type="character" w:styleId="FooterChar" w:customStyle="1">
    <w:name w:val="Footer Char"/>
    <w:link w:val="Footer"/>
    <w:uiPriority w:val="99"/>
    <w:semiHidden/>
    <w:qFormat/>
    <w:rsid w:val="00461acd"/>
    <w:rPr>
      <w:rFonts w:ascii="Times New Roman" w:hAnsi="Times New Roman" w:eastAsia="PMingLiU"/>
      <w:sz w:val="18"/>
      <w:szCs w:val="18"/>
      <w:lang w:eastAsia="en-US"/>
    </w:rPr>
  </w:style>
  <w:style w:type="character" w:styleId="InternetLink">
    <w:name w:val="Internet Link"/>
    <w:uiPriority w:val="99"/>
    <w:unhideWhenUsed/>
    <w:rsid w:val="00461ac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a04e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qFormat/>
    <w:rsid w:val="00b03727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Symbol"/>
      <w:b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810b3"/>
    <w:pPr/>
    <w:rPr>
      <w:rFonts w:ascii="Cambria" w:hAnsi="Cambria"/>
      <w:sz w:val="18"/>
      <w:szCs w:val="18"/>
      <w:lang w:val="x-none"/>
    </w:rPr>
  </w:style>
  <w:style w:type="paragraph" w:styleId="Header">
    <w:name w:val="Header"/>
    <w:basedOn w:val="Normal"/>
    <w:link w:val="HeaderChar"/>
    <w:uiPriority w:val="99"/>
    <w:semiHidden/>
    <w:unhideWhenUsed/>
    <w:rsid w:val="00461acd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61acd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Addresses" w:customStyle="1">
    <w:name w:val="Addresses"/>
    <w:basedOn w:val="Normal"/>
    <w:qFormat/>
    <w:rsid w:val="00cf1b02"/>
    <w:pPr>
      <w:jc w:val="left"/>
    </w:pPr>
    <w:rPr>
      <w:rFonts w:eastAsia="MS Mincho"/>
      <w:sz w:val="24"/>
      <w:szCs w:val="24"/>
      <w:lang w:eastAsia="ja-JP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LibreOffice/5.1.6.2$Linux_X86_64 LibreOffice_project/10m0$Build-2</Application>
  <Pages>1</Pages>
  <Words>404</Words>
  <Characters>2313</Characters>
  <CharactersWithSpaces>2708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2018-07-04T07:38:00Z</dcterms:created>
  <dc:creator>TaeHyungKim</dc:creator>
  <dc:description/>
  <dc:language>en-US</dc:language>
  <cp:lastModifiedBy/>
  <cp:lastPrinted>2012-08-01T05:35:00Z</cp:lastPrinted>
  <dcterms:modified xsi:type="dcterms:W3CDTF">2018-10-03T19:03:06Z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